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8B" w:rsidRPr="000D0F8B" w:rsidRDefault="000D0F8B" w:rsidP="000D0F8B">
      <w:pPr>
        <w:jc w:val="center"/>
        <w:rPr>
          <w:rFonts w:eastAsia="Times New Roman" w:cs="Times New Roman"/>
        </w:rPr>
      </w:pPr>
      <w:r w:rsidRPr="000D0F8B">
        <w:rPr>
          <w:rFonts w:asciiTheme="majorHAnsi" w:eastAsia="Times New Roman" w:hAnsiTheme="majorHAnsi" w:cs="Times New Roman"/>
          <w:b/>
          <w:sz w:val="36"/>
          <w:szCs w:val="36"/>
        </w:rPr>
        <w:t>Job Description</w:t>
      </w:r>
    </w:p>
    <w:p w:rsidR="000D0F8B" w:rsidRPr="000D0F8B" w:rsidRDefault="000D0F8B" w:rsidP="000D0F8B">
      <w:pPr>
        <w:tabs>
          <w:tab w:val="left" w:pos="3402"/>
        </w:tabs>
        <w:spacing w:after="120" w:line="260" w:lineRule="atLeast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Job Title: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</w:r>
      <w:r w:rsidR="007931E2">
        <w:rPr>
          <w:rFonts w:eastAsia="Times New Roman" w:cs="Times New Roman"/>
        </w:rPr>
        <w:t>RTA Litigator</w:t>
      </w:r>
    </w:p>
    <w:p w:rsidR="000D0F8B" w:rsidRPr="000D0F8B" w:rsidRDefault="000D0F8B" w:rsidP="000D0F8B">
      <w:pPr>
        <w:tabs>
          <w:tab w:val="left" w:pos="3402"/>
        </w:tabs>
        <w:spacing w:after="120" w:line="260" w:lineRule="atLeast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Location: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  <w:t>Sheffield</w:t>
      </w:r>
    </w:p>
    <w:p w:rsidR="000D0F8B" w:rsidRPr="000D0F8B" w:rsidRDefault="000D0F8B" w:rsidP="000D0F8B">
      <w:pPr>
        <w:tabs>
          <w:tab w:val="left" w:pos="3402"/>
        </w:tabs>
        <w:spacing w:after="120" w:line="260" w:lineRule="atLeast"/>
        <w:ind w:left="3402" w:hanging="3402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Reports to: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  <w:t xml:space="preserve">Head of </w:t>
      </w:r>
      <w:r>
        <w:rPr>
          <w:rFonts w:eastAsia="Times New Roman" w:cs="Times New Roman"/>
        </w:rPr>
        <w:t>Legal Practice</w:t>
      </w:r>
      <w:r w:rsidRPr="000D0F8B">
        <w:rPr>
          <w:rFonts w:eastAsia="Times New Roman" w:cs="Times New Roman"/>
        </w:rPr>
        <w:t xml:space="preserve"> or </w:t>
      </w:r>
      <w:r>
        <w:rPr>
          <w:rFonts w:eastAsia="Times New Roman" w:cs="Times New Roman"/>
        </w:rPr>
        <w:t xml:space="preserve">Head of Personal Injury </w:t>
      </w:r>
      <w:r w:rsidRPr="000D0F8B">
        <w:rPr>
          <w:rFonts w:eastAsia="Times New Roman" w:cs="Times New Roman"/>
        </w:rPr>
        <w:t>for day-to-day matters</w:t>
      </w:r>
    </w:p>
    <w:p w:rsidR="000D0F8B" w:rsidRPr="000D0F8B" w:rsidRDefault="000D0F8B" w:rsidP="000D0F8B">
      <w:pPr>
        <w:tabs>
          <w:tab w:val="left" w:pos="3402"/>
        </w:tabs>
        <w:spacing w:after="0" w:line="260" w:lineRule="atLeast"/>
        <w:ind w:left="3402" w:hanging="3402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Standard Hours of Work:</w:t>
      </w:r>
      <w:r w:rsidRPr="000D0F8B">
        <w:rPr>
          <w:rFonts w:eastAsia="Times New Roman" w:cs="Times New Roman"/>
          <w:b/>
        </w:rPr>
        <w:tab/>
      </w:r>
      <w:r w:rsidRPr="000D0F8B">
        <w:rPr>
          <w:rFonts w:eastAsia="Times New Roman" w:cs="Times New Roman"/>
        </w:rPr>
        <w:t xml:space="preserve">39.5 hours per week </w:t>
      </w:r>
      <w:r w:rsidRPr="000D0F8B">
        <w:rPr>
          <w:rFonts w:eastAsia="Times New Roman" w:cs="Times New Roman"/>
        </w:rPr>
        <w:br/>
      </w:r>
    </w:p>
    <w:p w:rsidR="000D0F8B" w:rsidRPr="000D0F8B" w:rsidRDefault="000D0F8B" w:rsidP="000D0F8B">
      <w:pPr>
        <w:tabs>
          <w:tab w:val="left" w:pos="3402"/>
        </w:tabs>
        <w:spacing w:after="120" w:line="260" w:lineRule="atLeast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Date revised: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</w:r>
      <w:r w:rsidR="00EB32A2">
        <w:rPr>
          <w:rFonts w:eastAsia="Times New Roman" w:cs="Times New Roman"/>
        </w:rPr>
        <w:t>19 January 2016</w:t>
      </w:r>
      <w:r w:rsidRPr="000D0F8B">
        <w:rPr>
          <w:rFonts w:eastAsia="Times New Roman" w:cs="Times New Roman"/>
        </w:rPr>
        <w:t xml:space="preserve"> </w:t>
      </w:r>
    </w:p>
    <w:p w:rsidR="000D0F8B" w:rsidRPr="000D0F8B" w:rsidRDefault="000D0F8B" w:rsidP="000D0F8B">
      <w:pPr>
        <w:spacing w:after="120" w:line="260" w:lineRule="atLeast"/>
        <w:jc w:val="both"/>
        <w:rPr>
          <w:rFonts w:eastAsia="Times New Roman" w:cs="Times New Roman"/>
        </w:rPr>
      </w:pPr>
    </w:p>
    <w:p w:rsidR="000D0F8B" w:rsidRPr="000D0F8B" w:rsidRDefault="000D0F8B" w:rsidP="000D0F8B">
      <w:pPr>
        <w:keepNext/>
        <w:numPr>
          <w:ilvl w:val="0"/>
          <w:numId w:val="1"/>
        </w:numPr>
        <w:spacing w:after="120" w:line="260" w:lineRule="atLeast"/>
        <w:jc w:val="both"/>
        <w:outlineLvl w:val="0"/>
        <w:rPr>
          <w:rFonts w:eastAsia="Times New Roman" w:cs="Times New Roman"/>
          <w:b/>
          <w:caps/>
          <w:kern w:val="28"/>
        </w:rPr>
      </w:pPr>
      <w:r w:rsidRPr="000D0F8B">
        <w:rPr>
          <w:rFonts w:eastAsia="Times New Roman" w:cs="Times New Roman"/>
          <w:b/>
          <w:caps/>
          <w:kern w:val="28"/>
        </w:rPr>
        <w:t>Job Purpose</w:t>
      </w:r>
    </w:p>
    <w:p w:rsidR="00EB32A2" w:rsidRDefault="000D0F8B" w:rsidP="000D0F8B">
      <w:pPr>
        <w:keepNext/>
        <w:spacing w:after="240" w:line="260" w:lineRule="atLeast"/>
        <w:ind w:left="426"/>
        <w:jc w:val="both"/>
        <w:outlineLvl w:val="2"/>
        <w:rPr>
          <w:rFonts w:eastAsia="Times New Roman" w:cs="Times New Roman"/>
        </w:rPr>
      </w:pPr>
      <w:r w:rsidRPr="000D0F8B">
        <w:rPr>
          <w:rFonts w:eastAsia="Times New Roman" w:cs="Times New Roman"/>
        </w:rPr>
        <w:t xml:space="preserve">To work hard as part of a team handling </w:t>
      </w:r>
      <w:r w:rsidR="007931E2">
        <w:rPr>
          <w:rFonts w:eastAsia="Times New Roman" w:cs="Times New Roman"/>
        </w:rPr>
        <w:t>road traffic</w:t>
      </w:r>
      <w:r w:rsidRPr="000D0F8B">
        <w:rPr>
          <w:rFonts w:eastAsia="Times New Roman" w:cs="Times New Roman"/>
        </w:rPr>
        <w:t xml:space="preserve"> personal injury cases. </w:t>
      </w:r>
    </w:p>
    <w:p w:rsidR="000D0F8B" w:rsidRPr="000D0F8B" w:rsidRDefault="000D0F8B" w:rsidP="000D0F8B">
      <w:pPr>
        <w:keepNext/>
        <w:spacing w:after="240" w:line="260" w:lineRule="atLeast"/>
        <w:ind w:left="426"/>
        <w:jc w:val="both"/>
        <w:outlineLvl w:val="2"/>
        <w:rPr>
          <w:rFonts w:eastAsia="Times New Roman" w:cs="Times New Roman"/>
        </w:rPr>
      </w:pPr>
      <w:r w:rsidRPr="000D0F8B">
        <w:rPr>
          <w:rFonts w:eastAsia="Times New Roman" w:cs="Times New Roman"/>
        </w:rPr>
        <w:t xml:space="preserve">The jobholder will be responsible </w:t>
      </w:r>
      <w:r>
        <w:t xml:space="preserve">for </w:t>
      </w:r>
      <w:r w:rsidR="00EB32A2">
        <w:t xml:space="preserve">a caseload of </w:t>
      </w:r>
      <w:r w:rsidR="007931E2">
        <w:t xml:space="preserve">RTA claims, from portal exit to settlement, </w:t>
      </w:r>
      <w:r>
        <w:t xml:space="preserve">within the </w:t>
      </w:r>
      <w:r w:rsidRPr="000D0F8B">
        <w:rPr>
          <w:rFonts w:eastAsia="Times New Roman" w:cs="Times New Roman"/>
        </w:rPr>
        <w:t xml:space="preserve">personal injury department at our Sheffield office. </w:t>
      </w:r>
    </w:p>
    <w:p w:rsidR="000D0F8B" w:rsidRDefault="000D0F8B" w:rsidP="0016700D">
      <w:pPr>
        <w:keepNext/>
        <w:spacing w:after="240" w:line="260" w:lineRule="atLeast"/>
        <w:ind w:left="360"/>
        <w:jc w:val="both"/>
        <w:outlineLvl w:val="2"/>
      </w:pPr>
      <w:r>
        <w:t xml:space="preserve">Working </w:t>
      </w:r>
      <w:r w:rsidR="00EB32A2">
        <w:t>to achieve</w:t>
      </w:r>
      <w:r>
        <w:t xml:space="preserve"> </w:t>
      </w:r>
      <w:r w:rsidR="0016700D">
        <w:t xml:space="preserve">individual and team </w:t>
      </w:r>
      <w:r>
        <w:t xml:space="preserve">key </w:t>
      </w:r>
      <w:r w:rsidR="00582C88">
        <w:t xml:space="preserve">targets and </w:t>
      </w:r>
      <w:r>
        <w:t>objectives</w:t>
      </w:r>
      <w:r w:rsidR="0016700D">
        <w:t xml:space="preserve">, </w:t>
      </w:r>
      <w:r w:rsidR="0095704D">
        <w:t xml:space="preserve">and </w:t>
      </w:r>
      <w:r w:rsidR="0016700D">
        <w:t>ensuring compliance with SLAs</w:t>
      </w:r>
      <w:r>
        <w:t xml:space="preserve">. </w:t>
      </w:r>
    </w:p>
    <w:p w:rsidR="0016700D" w:rsidRDefault="000D0F8B" w:rsidP="000D0F8B">
      <w:pPr>
        <w:pStyle w:val="PlainText"/>
        <w:ind w:left="360"/>
      </w:pPr>
      <w:r>
        <w:t xml:space="preserve">Building working relationships with clients and the Unions, and external third parties such medical agencies. </w:t>
      </w:r>
    </w:p>
    <w:p w:rsidR="0016700D" w:rsidRDefault="0016700D" w:rsidP="000D0F8B">
      <w:pPr>
        <w:pStyle w:val="PlainText"/>
        <w:ind w:left="360"/>
      </w:pPr>
    </w:p>
    <w:p w:rsidR="000D0F8B" w:rsidRDefault="000D0F8B" w:rsidP="000D0F8B">
      <w:pPr>
        <w:pStyle w:val="PlainText"/>
        <w:ind w:left="360"/>
      </w:pPr>
      <w:r>
        <w:t>Working with colleagues to develop a strong team ethic and deliver exceptional client service to those involved in personal injury claims.</w:t>
      </w:r>
    </w:p>
    <w:p w:rsidR="00F914E3" w:rsidRDefault="00F914E3" w:rsidP="000D0F8B">
      <w:pPr>
        <w:pStyle w:val="PlainText"/>
        <w:ind w:left="360"/>
      </w:pPr>
    </w:p>
    <w:p w:rsidR="000D0F8B" w:rsidRPr="000D0F8B" w:rsidRDefault="000D0F8B" w:rsidP="000D0F8B">
      <w:pPr>
        <w:keepNext/>
        <w:spacing w:after="240" w:line="260" w:lineRule="atLeast"/>
        <w:ind w:left="426"/>
        <w:jc w:val="both"/>
        <w:outlineLvl w:val="2"/>
        <w:rPr>
          <w:rFonts w:eastAsia="Times New Roman" w:cs="Times New Roman"/>
        </w:rPr>
      </w:pPr>
    </w:p>
    <w:p w:rsidR="000D0F8B" w:rsidRPr="000D0F8B" w:rsidRDefault="000D0F8B" w:rsidP="000D0F8B">
      <w:pPr>
        <w:keepNext/>
        <w:numPr>
          <w:ilvl w:val="0"/>
          <w:numId w:val="1"/>
        </w:numPr>
        <w:spacing w:after="240" w:line="260" w:lineRule="atLeast"/>
        <w:jc w:val="both"/>
        <w:outlineLvl w:val="2"/>
        <w:rPr>
          <w:rFonts w:eastAsia="Times New Roman" w:cs="Times New Roman"/>
          <w:b/>
        </w:rPr>
      </w:pPr>
      <w:r w:rsidRPr="000D0F8B">
        <w:rPr>
          <w:rFonts w:eastAsia="Times New Roman" w:cs="Times New Roman"/>
          <w:b/>
        </w:rPr>
        <w:t>SCOPE OF THE ROLE</w:t>
      </w:r>
    </w:p>
    <w:p w:rsidR="000D0F8B" w:rsidRPr="000D0F8B" w:rsidRDefault="000D0F8B" w:rsidP="000D0F8B">
      <w:pPr>
        <w:spacing w:after="120" w:line="260" w:lineRule="atLeast"/>
        <w:ind w:left="360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</w:rPr>
        <w:t xml:space="preserve">The jobholder will </w:t>
      </w:r>
      <w:r>
        <w:rPr>
          <w:rFonts w:eastAsia="Times New Roman" w:cs="Times New Roman"/>
        </w:rPr>
        <w:t>ensure the</w:t>
      </w:r>
      <w:r w:rsidR="00EB32A2">
        <w:rPr>
          <w:rFonts w:eastAsia="Times New Roman" w:cs="Times New Roman"/>
        </w:rPr>
        <w:t>y</w:t>
      </w:r>
      <w:r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 xml:space="preserve">deliver excellent levels of client service throughout the progression of the case and will </w:t>
      </w:r>
      <w:r>
        <w:rPr>
          <w:rFonts w:eastAsia="Times New Roman" w:cs="Times New Roman"/>
        </w:rPr>
        <w:t xml:space="preserve">ensure </w:t>
      </w:r>
      <w:r w:rsidR="00EB32A2">
        <w:rPr>
          <w:rFonts w:eastAsia="Times New Roman" w:cs="Times New Roman"/>
        </w:rPr>
        <w:t>they</w:t>
      </w:r>
      <w:r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 xml:space="preserve">keep the client regularly updated, in line with department service level agreements. </w:t>
      </w:r>
    </w:p>
    <w:p w:rsidR="000D0F8B" w:rsidRDefault="000D0F8B" w:rsidP="000D0F8B">
      <w:pPr>
        <w:spacing w:after="120" w:line="260" w:lineRule="atLeast"/>
        <w:ind w:left="360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</w:rPr>
        <w:t>They will be responsible and accountable for</w:t>
      </w:r>
      <w:r w:rsidR="00EB32A2">
        <w:rPr>
          <w:rFonts w:eastAsia="Times New Roman" w:cs="Times New Roman"/>
        </w:rPr>
        <w:t xml:space="preserve"> ensuring they </w:t>
      </w:r>
      <w:r>
        <w:rPr>
          <w:rFonts w:eastAsia="Times New Roman" w:cs="Times New Roman"/>
        </w:rPr>
        <w:t xml:space="preserve">meet prescribed SLAs and </w:t>
      </w:r>
      <w:r w:rsidR="00EB32A2">
        <w:rPr>
          <w:rFonts w:eastAsia="Times New Roman" w:cs="Times New Roman"/>
        </w:rPr>
        <w:t xml:space="preserve">individual </w:t>
      </w:r>
      <w:r>
        <w:rPr>
          <w:rFonts w:eastAsia="Times New Roman" w:cs="Times New Roman"/>
        </w:rPr>
        <w:t xml:space="preserve">targets, including financial and </w:t>
      </w:r>
      <w:r w:rsidR="00582C88">
        <w:rPr>
          <w:rFonts w:eastAsia="Times New Roman" w:cs="Times New Roman"/>
        </w:rPr>
        <w:t>file progression/shelf life</w:t>
      </w:r>
      <w:r>
        <w:rPr>
          <w:rFonts w:eastAsia="Times New Roman" w:cs="Times New Roman"/>
        </w:rPr>
        <w:t xml:space="preserve"> targets</w:t>
      </w:r>
      <w:r w:rsidRPr="000D0F8B">
        <w:rPr>
          <w:rFonts w:eastAsia="Times New Roman" w:cs="Times New Roman"/>
        </w:rPr>
        <w:t xml:space="preserve">. </w:t>
      </w:r>
    </w:p>
    <w:p w:rsidR="00EB32A2" w:rsidRDefault="00EB32A2" w:rsidP="000D0F8B">
      <w:pPr>
        <w:spacing w:after="120" w:line="260" w:lineRule="atLea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Assis</w:t>
      </w:r>
      <w:r w:rsidR="0095704D">
        <w:rPr>
          <w:rFonts w:eastAsia="Times New Roman" w:cs="Times New Roman"/>
        </w:rPr>
        <w:t>ting</w:t>
      </w:r>
      <w:r>
        <w:rPr>
          <w:rFonts w:eastAsia="Times New Roman" w:cs="Times New Roman"/>
        </w:rPr>
        <w:t xml:space="preserve"> with vetting of cases with other team members</w:t>
      </w:r>
      <w:r w:rsidR="0095704D">
        <w:rPr>
          <w:rFonts w:eastAsia="Times New Roman" w:cs="Times New Roman"/>
        </w:rPr>
        <w:t>.</w:t>
      </w:r>
    </w:p>
    <w:p w:rsidR="0095704D" w:rsidRPr="0095704D" w:rsidRDefault="0095704D" w:rsidP="000D0F8B">
      <w:pPr>
        <w:spacing w:after="120" w:line="260" w:lineRule="atLeast"/>
        <w:ind w:left="360"/>
        <w:jc w:val="both"/>
        <w:rPr>
          <w:rFonts w:eastAsia="Times New Roman" w:cs="Times New Roman"/>
        </w:rPr>
      </w:pPr>
      <w:r w:rsidRPr="0095704D">
        <w:rPr>
          <w:rFonts w:cs="Arial"/>
        </w:rPr>
        <w:t xml:space="preserve">To ensure that allegations of fraud, LVI or other complex issues or Multi Track claims are referred to the </w:t>
      </w:r>
      <w:r w:rsidR="00D071DE">
        <w:rPr>
          <w:rFonts w:cs="Arial"/>
        </w:rPr>
        <w:t xml:space="preserve">RTA Supervisor / </w:t>
      </w:r>
      <w:r w:rsidRPr="0095704D">
        <w:rPr>
          <w:rFonts w:cs="Arial"/>
        </w:rPr>
        <w:t>Head of Personal Injury as quickly as possible</w:t>
      </w:r>
    </w:p>
    <w:p w:rsidR="000D0F8B" w:rsidRPr="000D0F8B" w:rsidRDefault="000D0F8B" w:rsidP="000D0F8B">
      <w:pPr>
        <w:spacing w:after="120" w:line="260" w:lineRule="atLeast"/>
        <w:jc w:val="both"/>
        <w:rPr>
          <w:rFonts w:eastAsia="Times New Roman" w:cs="Times New Roman"/>
        </w:rPr>
      </w:pPr>
    </w:p>
    <w:p w:rsidR="000D0F8B" w:rsidRPr="000D0F8B" w:rsidRDefault="000D0F8B" w:rsidP="000D0F8B">
      <w:pPr>
        <w:keepNext/>
        <w:numPr>
          <w:ilvl w:val="0"/>
          <w:numId w:val="1"/>
        </w:numPr>
        <w:spacing w:after="120" w:line="260" w:lineRule="atLeast"/>
        <w:jc w:val="both"/>
        <w:outlineLvl w:val="0"/>
        <w:rPr>
          <w:rFonts w:eastAsia="Times New Roman" w:cs="Times New Roman"/>
          <w:b/>
          <w:caps/>
          <w:kern w:val="28"/>
        </w:rPr>
      </w:pPr>
      <w:r w:rsidRPr="000D0F8B">
        <w:rPr>
          <w:rFonts w:eastAsia="Times New Roman" w:cs="Times New Roman"/>
          <w:b/>
          <w:caps/>
          <w:kern w:val="28"/>
        </w:rPr>
        <w:t xml:space="preserve">Principal ACCOUNTABILITIES/TASKS </w:t>
      </w:r>
    </w:p>
    <w:p w:rsidR="00FA7177" w:rsidRPr="007B3F0F" w:rsidRDefault="00FA7177" w:rsidP="00FA7177">
      <w:pPr>
        <w:keepNext/>
        <w:spacing w:after="120" w:line="260" w:lineRule="atLeast"/>
        <w:ind w:left="360"/>
        <w:jc w:val="both"/>
        <w:outlineLvl w:val="0"/>
        <w:rPr>
          <w:rFonts w:eastAsia="Times New Roman" w:cs="Times New Roman"/>
          <w:b/>
          <w:caps/>
          <w:kern w:val="28"/>
        </w:rPr>
      </w:pPr>
      <w:r w:rsidRPr="007B3F0F">
        <w:rPr>
          <w:rFonts w:eastAsia="Times New Roman" w:cs="Times New Roman"/>
          <w:b/>
          <w:caps/>
          <w:kern w:val="28"/>
        </w:rPr>
        <w:t>case management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 xml:space="preserve">To draft pleadings, application notices, disclosure lists, witness statements, schedules of loss, brief to counsel, trial bundle index, case summary. 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 xml:space="preserve">To complete internal forms for defence review, witness statement exchange and authority to proceed to trial.  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attend Court (personally or by way of telephone) and perform advocacy for Case Management Conferences, Application Hearings and Pre-Trial Reviews.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value PI claims competently &amp; utilising JSB guidelines/case law where appropriate; to effectively investigate, collate/calculate and present special damages claims (including future loss).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 xml:space="preserve">To establish and focus upon issues/facts in dispute in the context of liability; to utilise case law where necessary; to make effective use of Part 36. </w:t>
      </w:r>
    </w:p>
    <w:p w:rsidR="00FA7177" w:rsidRPr="007B3F0F" w:rsidRDefault="00D071DE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To appropriately involve t</w:t>
      </w:r>
      <w:r w:rsidR="00FA7177" w:rsidRPr="007B3F0F">
        <w:rPr>
          <w:rFonts w:cs="Arial"/>
        </w:rPr>
        <w:t xml:space="preserve">he </w:t>
      </w:r>
      <w:r w:rsidR="0095704D">
        <w:rPr>
          <w:rFonts w:cs="Arial"/>
        </w:rPr>
        <w:t xml:space="preserve">RTA Supervisor / </w:t>
      </w:r>
      <w:r w:rsidR="00FA7177" w:rsidRPr="007B3F0F">
        <w:rPr>
          <w:rFonts w:cs="Arial"/>
        </w:rPr>
        <w:t xml:space="preserve">Head of PI where input on technical matters and operational issues </w:t>
      </w:r>
      <w:r w:rsidR="00FA7177">
        <w:rPr>
          <w:rFonts w:cs="Arial"/>
        </w:rPr>
        <w:t>a</w:t>
      </w:r>
      <w:r w:rsidR="0095704D">
        <w:rPr>
          <w:rFonts w:cs="Arial"/>
        </w:rPr>
        <w:t>re</w:t>
      </w:r>
      <w:r w:rsidR="00FA7177" w:rsidRPr="007B3F0F">
        <w:rPr>
          <w:rFonts w:cs="Arial"/>
        </w:rPr>
        <w:t xml:space="preserve"> warranted. </w:t>
      </w:r>
    </w:p>
    <w:p w:rsidR="00FA7177" w:rsidRPr="007B3F0F" w:rsidRDefault="00FA7177" w:rsidP="00FA7177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Plan workload in order to anticipate and balance priorities</w:t>
      </w:r>
    </w:p>
    <w:p w:rsidR="00FA7177" w:rsidRPr="007B3F0F" w:rsidRDefault="00FA7177" w:rsidP="00FA7177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Maintain an awareness of changes in legislation, practice and procedure</w:t>
      </w:r>
    </w:p>
    <w:p w:rsidR="00FA7177" w:rsidRPr="007B3F0F" w:rsidRDefault="00FA7177" w:rsidP="00FA7177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Ensure that all correspondence and messages are dealt with appropriately, within prescribed SLAs, providing excellent client service</w:t>
      </w:r>
    </w:p>
    <w:p w:rsidR="00FA7177" w:rsidRPr="007B3F0F" w:rsidRDefault="00FA7177" w:rsidP="00FA7177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Ensure that all clients, on all occasions, are treated with courtesy and dealt with expeditiously</w:t>
      </w:r>
    </w:p>
    <w:p w:rsidR="000D0F8B" w:rsidRPr="005C7482" w:rsidRDefault="00FA7177" w:rsidP="005C7482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Work hard as a team player; being a committed and confident litigator.</w:t>
      </w:r>
      <w:bookmarkStart w:id="0" w:name="_GoBack"/>
      <w:bookmarkEnd w:id="0"/>
    </w:p>
    <w:sectPr w:rsidR="000D0F8B" w:rsidRPr="005C748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11" w:rsidRDefault="009A0A11" w:rsidP="009A0A11">
      <w:pPr>
        <w:spacing w:after="0" w:line="240" w:lineRule="auto"/>
      </w:pPr>
      <w:r>
        <w:separator/>
      </w:r>
    </w:p>
  </w:endnote>
  <w:endnote w:type="continuationSeparator" w:id="0">
    <w:p w:rsidR="009A0A11" w:rsidRDefault="009A0A11" w:rsidP="009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11" w:rsidRDefault="009A0A11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A11" w:rsidRDefault="009A0A11">
                            <w:pPr>
                              <w:pStyle w:val="Footer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A0A11" w:rsidRDefault="009A0A11">
                      <w:pPr>
                        <w:pStyle w:val="Footer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11" w:rsidRDefault="009A0A11" w:rsidP="009A0A11">
      <w:pPr>
        <w:spacing w:after="0" w:line="240" w:lineRule="auto"/>
      </w:pPr>
      <w:r>
        <w:separator/>
      </w:r>
    </w:p>
  </w:footnote>
  <w:footnote w:type="continuationSeparator" w:id="0">
    <w:p w:rsidR="009A0A11" w:rsidRDefault="009A0A11" w:rsidP="009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82" w:rsidRDefault="005C7482" w:rsidP="005C7482">
    <w:pPr>
      <w:pStyle w:val="Header"/>
      <w:rPr>
        <w:rFonts w:asciiTheme="majorHAnsi" w:hAnsiTheme="majorHAnsi"/>
        <w:color w:val="767171" w:themeColor="background2" w:themeShade="80"/>
      </w:rPr>
    </w:pPr>
    <w:r w:rsidRPr="00AD7CB4">
      <w:rPr>
        <w:rFonts w:asciiTheme="majorHAnsi" w:hAnsiTheme="majorHAnsi"/>
        <w:noProof/>
        <w:color w:val="E7E6E6" w:themeColor="background2"/>
        <w:lang w:eastAsia="en-GB"/>
      </w:rPr>
      <w:drawing>
        <wp:anchor distT="0" distB="0" distL="114300" distR="114300" simplePos="0" relativeHeight="251661312" behindDoc="1" locked="0" layoutInCell="1" allowOverlap="1" wp14:anchorId="710035EB" wp14:editId="302174E7">
          <wp:simplePos x="0" y="0"/>
          <wp:positionH relativeFrom="margin">
            <wp:posOffset>4743450</wp:posOffset>
          </wp:positionH>
          <wp:positionV relativeFrom="paragraph">
            <wp:posOffset>-68580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</w:rPr>
      <w:br/>
    </w:r>
    <w:hyperlink r:id="rId2" w:history="1">
      <w:r w:rsidRPr="002677F7">
        <w:rPr>
          <w:rStyle w:val="Hyperlink"/>
          <w:rFonts w:asciiTheme="majorHAnsi" w:hAnsiTheme="majorHAnsi"/>
        </w:rPr>
        <w:t>recruit@unionline.co.uk</w:t>
      </w:r>
    </w:hyperlink>
  </w:p>
  <w:p w:rsidR="009A0A11" w:rsidRDefault="009A0A11" w:rsidP="005C7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854B82"/>
    <w:multiLevelType w:val="hybridMultilevel"/>
    <w:tmpl w:val="C93CB7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8B"/>
    <w:rsid w:val="000D0F8B"/>
    <w:rsid w:val="0016700D"/>
    <w:rsid w:val="004B4C65"/>
    <w:rsid w:val="004F0A25"/>
    <w:rsid w:val="00582C88"/>
    <w:rsid w:val="005C7482"/>
    <w:rsid w:val="007931E2"/>
    <w:rsid w:val="00836FA1"/>
    <w:rsid w:val="0095704D"/>
    <w:rsid w:val="009A0A11"/>
    <w:rsid w:val="00A97206"/>
    <w:rsid w:val="00D071DE"/>
    <w:rsid w:val="00DD5BC5"/>
    <w:rsid w:val="00E377F0"/>
    <w:rsid w:val="00EB32A2"/>
    <w:rsid w:val="00F914E3"/>
    <w:rsid w:val="00FA7177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05EDC4B-1A98-4A1F-B669-4A6C14B9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1">
    <w:name w:val="List Table 1 Light Accent 1"/>
    <w:basedOn w:val="TableNormal"/>
    <w:uiPriority w:val="46"/>
    <w:rsid w:val="000D0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0D0F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F8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A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11"/>
  </w:style>
  <w:style w:type="paragraph" w:styleId="Footer">
    <w:name w:val="footer"/>
    <w:basedOn w:val="Normal"/>
    <w:link w:val="FooterChar"/>
    <w:uiPriority w:val="99"/>
    <w:unhideWhenUsed/>
    <w:rsid w:val="009A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11"/>
  </w:style>
  <w:style w:type="character" w:styleId="Hyperlink">
    <w:name w:val="Hyperlink"/>
    <w:basedOn w:val="DefaultParagraphFont"/>
    <w:uiPriority w:val="99"/>
    <w:unhideWhenUsed/>
    <w:rsid w:val="005C7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RTA Supervisor job description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RTA Supervisor job description</dc:title>
  <dc:subject>v1 26.11.15</dc:subject>
  <dc:creator>Sally O'Brien</dc:creator>
  <cp:keywords/>
  <dc:description/>
  <cp:lastModifiedBy>Collette McColgan</cp:lastModifiedBy>
  <cp:revision>2</cp:revision>
  <dcterms:created xsi:type="dcterms:W3CDTF">2016-02-23T13:39:00Z</dcterms:created>
  <dcterms:modified xsi:type="dcterms:W3CDTF">2016-02-23T13:39:00Z</dcterms:modified>
</cp:coreProperties>
</file>